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2023年度部门整体支出绩效自评表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10"/>
        <w:gridCol w:w="719"/>
        <w:gridCol w:w="1755"/>
        <w:gridCol w:w="1634"/>
        <w:gridCol w:w="1592"/>
        <w:gridCol w:w="546"/>
        <w:gridCol w:w="53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6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6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105.79</w:t>
            </w:r>
          </w:p>
        </w:tc>
        <w:tc>
          <w:tcPr>
            <w:tcW w:w="16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294.3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285.3</w:t>
            </w:r>
          </w:p>
        </w:tc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96.94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%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一般公共预算：211.2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其他资金：83.1</w:t>
            </w:r>
            <w:bookmarkStart w:id="0" w:name="_GoBack"/>
            <w:bookmarkEnd w:id="0"/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1.积极开展“三教三献”工作;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2.强化服务意识，增强红十字会的影响力和感召力;　　　　　　　　　　　　　　　　　　　　　　　                                                                              3.严格按照财政预算安排资金使用执行;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4.严格按照《岳阳市人道救助金管理和使用办法》开展人道救助工作，增强红十字会的救助能力;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5.增强应急救援能力，完善红十字会的救援体系;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6.推动各县市区监事会组织建设，促进县市区红十字会财务制度的完善，增强红十字的公信力。</w:t>
            </w:r>
          </w:p>
        </w:tc>
        <w:tc>
          <w:tcPr>
            <w:tcW w:w="3949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1.完成博爱家园项目2个;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2.全年普及培训人数10万人次;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全年已完成救护员培训105期，救护员取证人数10265人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3.造血干细胞高分采样73人;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4.造血干细胞体检51人;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5.造血干细胞成功捐献38人;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6.人体器官（遗体）捐献志愿登记2000人;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7.救助弱势群体191人;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 xml:space="preserve">8.组建市级红十字救援队伍1支，组织救援志愿服务活动45次; 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0"/>
                <w:szCs w:val="20"/>
                <w:lang w:eastAsia="zh-CN"/>
              </w:rPr>
              <w:t>9.完成1个县市区的监事会组织建设.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筹建市级红十字救援队伍，组织救援、救助等志愿服务活动　　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筹建市级红十字救援队伍1支；每年组织两次以上能力培训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1.组建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市级红十字救援队伍1支;2.能力培训45次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 xml:space="preserve">宣传发动干部群众参加无偿献血，积极参与推动全市无偿献血工作　　　　　　         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全年协助市中心血站完成全年献血量7053900ML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全年协助市中心血站完成全年献血任务7053900ML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1.授牌志愿服务队伍数量2.注册红十字志愿者人数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1.授牌志愿服务队伍≥5支</w:t>
            </w:r>
          </w:p>
          <w:p>
            <w:pPr>
              <w:pStyle w:val="3"/>
              <w:widowControl/>
              <w:spacing w:line="240" w:lineRule="exact"/>
              <w:rPr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2.注册志愿者人数≥5000人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授牌志愿服务队伍12支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.注册志愿者人数6183人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完成红十字博爱家园项目1个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完成红十字博爱家园项目1个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完成博爱家园项目2个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完成市级人道救助人数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≥100人次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完成市级人道救助人数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191人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开应急救护培训，普及应急救护，防灾避险和卫生健康知识，组织志愿者参与现场救护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全年普及培训人数10万人次，取证救护员3000人次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全年普及培训人数超10万人次，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全年已完成救护员培训105期，救护员取证人数10265人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人体器官（遗体）捐献志愿登记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人体器官（遗体）捐献志愿登记≥5千人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人体器官（遗体）捐献志愿登记2千人,完成人体器官捐献15例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因2023年初申报的项目经费是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0万，后来财政审批后项目经费是12万，所以三级指标人体器官捐献志愿登记人数降至2000人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造血干细胞体检、造血干细胞高分采样、造血干细胞成功捐献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1.造血干细胞体检≥60人                2.造血干细胞高分采样≥90人         3.造血干细胞成功捐献≥35人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完成造血干细胞体检51人,造血干细胞高分采样73人,造血干细胞成功捐献38人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因2023年初申报的项目经费是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0万，后来财政审批后项目经费是12万，所以三级指标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造血干细胞体检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降至51人，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造血干细胞高分采样降至73人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textAlignment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完成3-5个县市区的监事会组织建设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完成3-5个县市区的监事会组织建设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完成1个县市区的监事会组织建设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因2023年初申报的项目经费是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0万，后来财政审批后项目经费是12万，所以三级指标降至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完成1个县市区的监事会组织建设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救护员培训合格率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 资金给付及时性　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 一年分两次完成“三献”特困家庭救助;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1.7月份一次                                   2.12月份一次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人道救助金拨付金额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≥0.1万元/人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应急救护培训工本费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0.002万元/人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审计、咨询费用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≥0.1万元/次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造血干细胞捐献成功例数在全国同类城市中排第一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开展救援、救灾的相关工作，人民群众反映良好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为广大市民普及无偿献血、造血干细胞及遗体捐献等知识，为广大市民普及应急救护、防灾避险和卫生健康等知识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开展学校红十字青少年工作，让红十字志愿服务深入人心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在城乡传递人道温情，用行动助力建设有情怀、有温度的“爱心城市”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实现零排放，无污染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有力地提高红十字会在广大人民群众中的影响力和认知度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普及应急救护知识，推进健康岳阳建设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达到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0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99.69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  </w:t>
      </w:r>
      <w:r>
        <w:rPr>
          <w:rFonts w:ascii="Times New Roman" w:hAnsi="Times New Roman" w:eastAsia="仿宋_GB2312"/>
          <w:sz w:val="22"/>
          <w:szCs w:val="22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C57"/>
    <w:rsid w:val="00090CA1"/>
    <w:rsid w:val="007B1A31"/>
    <w:rsid w:val="008531BF"/>
    <w:rsid w:val="00935C57"/>
    <w:rsid w:val="00B93B41"/>
    <w:rsid w:val="49DF237D"/>
    <w:rsid w:val="79C75E9D"/>
    <w:rsid w:val="DB79AE77"/>
    <w:rsid w:val="EFFF8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3">
    <w:name w:val="Body Text"/>
    <w:basedOn w:val="1"/>
    <w:next w:val="1"/>
    <w:link w:val="6"/>
    <w:semiHidden/>
    <w:qFormat/>
    <w:uiPriority w:val="0"/>
    <w:rPr>
      <w:rFonts w:eastAsia="仿宋" w:cs="仿宋"/>
      <w:sz w:val="31"/>
      <w:szCs w:val="31"/>
      <w:lang w:eastAsia="en-US"/>
    </w:rPr>
  </w:style>
  <w:style w:type="character" w:customStyle="1" w:styleId="6">
    <w:name w:val="正文文本 Char"/>
    <w:basedOn w:val="5"/>
    <w:link w:val="3"/>
    <w:semiHidden/>
    <w:qFormat/>
    <w:uiPriority w:val="0"/>
    <w:rPr>
      <w:rFonts w:ascii="仿宋" w:hAnsi="仿宋" w:eastAsia="仿宋" w:cs="仿宋"/>
      <w:kern w:val="0"/>
      <w:sz w:val="31"/>
      <w:szCs w:val="31"/>
      <w:lang w:eastAsia="en-US"/>
    </w:rPr>
  </w:style>
  <w:style w:type="character" w:customStyle="1" w:styleId="7">
    <w:name w:val="纯文本 Char"/>
    <w:basedOn w:val="5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YYBD</Company>
  <Pages>3</Pages>
  <Words>447</Words>
  <Characters>2550</Characters>
  <Lines>21</Lines>
  <Paragraphs>5</Paragraphs>
  <TotalTime>206</TotalTime>
  <ScaleCrop>false</ScaleCrop>
  <LinksUpToDate>false</LinksUpToDate>
  <CharactersWithSpaces>2992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2024-05-31T08:39:00Z</dcterms:created>
  <dc:creator>Micorosoft</dc:creator>
  <cp:lastModifiedBy>zz</cp:lastModifiedBy>
  <dcterms:modified xsi:type="dcterms:W3CDTF">2024-06-03T10:50:55Z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