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附件3</w:t>
      </w:r>
    </w:p>
    <w:p>
      <w:pPr>
        <w:widowControl/>
        <w:spacing w:line="600" w:lineRule="exact"/>
        <w:jc w:val="left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       2023年度项目支出绩效自评表</w:t>
      </w:r>
    </w:p>
    <w:tbl>
      <w:tblPr>
        <w:tblStyle w:val="5"/>
        <w:tblW w:w="101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50"/>
        <w:gridCol w:w="709"/>
        <w:gridCol w:w="1417"/>
        <w:gridCol w:w="1618"/>
        <w:gridCol w:w="1167"/>
        <w:gridCol w:w="1126"/>
        <w:gridCol w:w="516"/>
        <w:gridCol w:w="865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90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岳阳市红十字会人道救助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岳阳市红十字会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岳阳市红十字会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1.收集全市人道救助名册，做好资料审核;                                                                                                                                                2.对符合条件人员，做好人道救助工作；                                                                                                                                                         3.突发灾难、事故等应急事件开展人道主义救援救助；                                                                                                                                           4.参与地震灾害、冰灾、洪灾、泥石流等紧急救援救助任务。　　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1.收集了全市人道救助名册，做好资料审核;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2.完成164人人道救助金的审批和发放;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3.博爱送万家慰问27人;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4.湘西保靖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(岳阳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对口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帮扶)发生洪灾,我会向其拔付救灾款3万.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人道救助金的审批和发放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≧100人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164人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博爱送万家慰问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≧20人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27人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救灾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3万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3万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2023年年底完成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2023年年底完成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人道救助金拨付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≧0.1万元/人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益指标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受助家庭经济情况得到改善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达到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达到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益指标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解困难群众燃眉之急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达到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达到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生态效益指标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不适用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可持续影响指标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有力地提高红十字会在广大人民群众中的影响力和认知度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达到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达到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救助困难群众满意度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spacing w:line="240" w:lineRule="exact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0C1"/>
    <w:rsid w:val="00090CA1"/>
    <w:rsid w:val="002A7FA5"/>
    <w:rsid w:val="003F08A1"/>
    <w:rsid w:val="007B1A31"/>
    <w:rsid w:val="008531BF"/>
    <w:rsid w:val="008C00C1"/>
    <w:rsid w:val="00C437EC"/>
    <w:rsid w:val="00E71069"/>
    <w:rsid w:val="7F7EC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semiHidden/>
    <w:unhideWhenUsed/>
    <w:qFormat/>
    <w:uiPriority w:val="99"/>
    <w:rPr>
      <w:rFonts w:ascii="宋体" w:hAnsi="Courier New" w:cs="Courier New"/>
      <w:sz w:val="21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仿宋" w:hAnsi="仿宋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仿宋" w:hAnsi="仿宋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YYBD</Company>
  <Pages>1</Pages>
  <Words>205</Words>
  <Characters>1174</Characters>
  <Lines>9</Lines>
  <Paragraphs>2</Paragraphs>
  <TotalTime>9</TotalTime>
  <ScaleCrop>false</ScaleCrop>
  <LinksUpToDate>false</LinksUpToDate>
  <CharactersWithSpaces>1377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2024-05-30T16:34:00Z</dcterms:created>
  <dc:creator>Micorosoft</dc:creator>
  <cp:lastModifiedBy>zz</cp:lastModifiedBy>
  <dcterms:modified xsi:type="dcterms:W3CDTF">2024-05-31T14:23:59Z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